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6009E1" w:rsidRDefault="006544C4" w:rsidP="006009E1">
      <w:pPr>
        <w:jc w:val="center"/>
        <w:rPr>
          <w:highlight w:val="yellow"/>
          <w:lang w:val="fr-FR"/>
        </w:rPr>
      </w:pPr>
      <w:bookmarkStart w:id="0" w:name="_GoBack"/>
      <w:bookmarkEnd w:id="0"/>
    </w:p>
    <w:p w:rsidR="0094178F" w:rsidRPr="006009E1" w:rsidRDefault="0094178F" w:rsidP="006009E1">
      <w:pPr>
        <w:jc w:val="center"/>
        <w:rPr>
          <w:sz w:val="4"/>
          <w:szCs w:val="4"/>
          <w:highlight w:val="yellow"/>
          <w:lang w:val="fr-FR"/>
        </w:rPr>
      </w:pPr>
    </w:p>
    <w:p w:rsidR="006544C4" w:rsidRPr="006009E1" w:rsidRDefault="004C66DF" w:rsidP="006009E1">
      <w:pPr>
        <w:pStyle w:val="DecHTitle"/>
        <w:rPr>
          <w:lang w:val="fr-FR"/>
        </w:rPr>
      </w:pPr>
      <w:r w:rsidRPr="006009E1">
        <w:rPr>
          <w:szCs w:val="24"/>
          <w:lang w:val="fr-FR"/>
        </w:rPr>
        <w:t>PREMIÈRE SECTION</w:t>
      </w:r>
    </w:p>
    <w:p w:rsidR="006544C4" w:rsidRPr="006009E1" w:rsidRDefault="006544C4" w:rsidP="006009E1">
      <w:pPr>
        <w:pStyle w:val="DecHTitle"/>
        <w:rPr>
          <w:caps/>
          <w:sz w:val="32"/>
          <w:lang w:val="fr-FR"/>
        </w:rPr>
      </w:pPr>
      <w:r w:rsidRPr="006009E1">
        <w:rPr>
          <w:lang w:val="fr-FR"/>
        </w:rPr>
        <w:t>DÉCISION</w:t>
      </w:r>
    </w:p>
    <w:p w:rsidR="006544C4" w:rsidRPr="006009E1" w:rsidRDefault="004C66DF" w:rsidP="006009E1">
      <w:pPr>
        <w:pStyle w:val="ECHRTitleCentre2"/>
        <w:rPr>
          <w:i w:val="0"/>
          <w:lang w:val="fr-FR"/>
        </w:rPr>
      </w:pPr>
      <w:r w:rsidRPr="006009E1">
        <w:rPr>
          <w:i w:val="0"/>
          <w:lang w:val="fr-FR"/>
        </w:rPr>
        <w:t>Requête n</w:t>
      </w:r>
      <w:r w:rsidRPr="006009E1">
        <w:rPr>
          <w:i w:val="0"/>
          <w:vertAlign w:val="superscript"/>
          <w:lang w:val="fr-FR"/>
        </w:rPr>
        <w:t>o</w:t>
      </w:r>
      <w:r w:rsidR="006544C4" w:rsidRPr="006009E1">
        <w:rPr>
          <w:i w:val="0"/>
          <w:lang w:val="fr-FR"/>
        </w:rPr>
        <w:t xml:space="preserve"> </w:t>
      </w:r>
      <w:r w:rsidRPr="006009E1">
        <w:rPr>
          <w:i w:val="0"/>
          <w:lang w:val="fr-FR"/>
        </w:rPr>
        <w:t>13774/15</w:t>
      </w:r>
      <w:r w:rsidR="006544C4" w:rsidRPr="006009E1">
        <w:rPr>
          <w:i w:val="0"/>
          <w:lang w:val="fr-FR"/>
        </w:rPr>
        <w:br/>
      </w:r>
      <w:r w:rsidRPr="006009E1">
        <w:rPr>
          <w:i w:val="0"/>
          <w:lang w:val="fr-FR"/>
        </w:rPr>
        <w:t>Klaudia JABLOŃSKA</w:t>
      </w:r>
      <w:r w:rsidRPr="006009E1">
        <w:rPr>
          <w:i w:val="0"/>
          <w:lang w:val="fr-FR"/>
        </w:rPr>
        <w:br/>
      </w:r>
      <w:r w:rsidR="006544C4" w:rsidRPr="006009E1">
        <w:rPr>
          <w:i w:val="0"/>
          <w:lang w:val="fr-FR"/>
        </w:rPr>
        <w:t xml:space="preserve">contre </w:t>
      </w:r>
      <w:r w:rsidRPr="006009E1">
        <w:rPr>
          <w:i w:val="0"/>
          <w:lang w:val="fr-FR"/>
        </w:rPr>
        <w:t>l</w:t>
      </w:r>
      <w:r w:rsidR="006009E1" w:rsidRPr="006009E1">
        <w:rPr>
          <w:i w:val="0"/>
          <w:lang w:val="fr-FR"/>
        </w:rPr>
        <w:t>’</w:t>
      </w:r>
      <w:r w:rsidRPr="006009E1">
        <w:rPr>
          <w:i w:val="0"/>
          <w:lang w:val="fr-FR"/>
        </w:rPr>
        <w:t>Italie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La Cour européenne des droits de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homme (première section), siégeant le 30</w:t>
      </w:r>
      <w:r w:rsidR="00FC0326" w:rsidRPr="006009E1">
        <w:rPr>
          <w:lang w:val="fr-FR"/>
        </w:rPr>
        <w:t xml:space="preserve"> </w:t>
      </w:r>
      <w:r w:rsidRPr="006009E1">
        <w:rPr>
          <w:lang w:val="fr-FR"/>
        </w:rPr>
        <w:t>août 2016 en un comité composé de :</w:t>
      </w:r>
    </w:p>
    <w:p w:rsidR="004C66DF" w:rsidRPr="006009E1" w:rsidRDefault="004C66DF" w:rsidP="006009E1">
      <w:pPr>
        <w:pStyle w:val="ECHRDecisionBody"/>
        <w:rPr>
          <w:lang w:val="fr-FR"/>
        </w:rPr>
      </w:pPr>
      <w:r w:rsidRPr="006009E1">
        <w:rPr>
          <w:lang w:val="fr-FR"/>
        </w:rPr>
        <w:tab/>
      </w:r>
      <w:proofErr w:type="spellStart"/>
      <w:r w:rsidRPr="006009E1">
        <w:rPr>
          <w:lang w:val="fr-FR"/>
        </w:rPr>
        <w:t>Ledi</w:t>
      </w:r>
      <w:proofErr w:type="spellEnd"/>
      <w:r w:rsidRPr="006009E1">
        <w:rPr>
          <w:lang w:val="fr-FR"/>
        </w:rPr>
        <w:t xml:space="preserve"> </w:t>
      </w:r>
      <w:proofErr w:type="spellStart"/>
      <w:r w:rsidRPr="006009E1">
        <w:rPr>
          <w:lang w:val="fr-FR"/>
        </w:rPr>
        <w:t>Bianku</w:t>
      </w:r>
      <w:proofErr w:type="spellEnd"/>
      <w:r w:rsidRPr="006009E1">
        <w:rPr>
          <w:lang w:val="fr-FR"/>
        </w:rPr>
        <w:t>,</w:t>
      </w:r>
      <w:r w:rsidRPr="006009E1">
        <w:rPr>
          <w:i/>
          <w:lang w:val="fr-FR"/>
        </w:rPr>
        <w:t xml:space="preserve"> président,</w:t>
      </w:r>
      <w:r w:rsidRPr="006009E1">
        <w:rPr>
          <w:i/>
          <w:lang w:val="fr-FR"/>
        </w:rPr>
        <w:br/>
      </w:r>
      <w:r w:rsidRPr="006009E1">
        <w:rPr>
          <w:lang w:val="fr-FR"/>
        </w:rPr>
        <w:tab/>
      </w:r>
      <w:proofErr w:type="spellStart"/>
      <w:r w:rsidRPr="006009E1">
        <w:rPr>
          <w:lang w:val="fr-FR"/>
        </w:rPr>
        <w:t>Aleš</w:t>
      </w:r>
      <w:proofErr w:type="spellEnd"/>
      <w:r w:rsidRPr="006009E1">
        <w:rPr>
          <w:lang w:val="fr-FR"/>
        </w:rPr>
        <w:t xml:space="preserve"> </w:t>
      </w:r>
      <w:proofErr w:type="spellStart"/>
      <w:r w:rsidRPr="006009E1">
        <w:rPr>
          <w:lang w:val="fr-FR"/>
        </w:rPr>
        <w:t>Pejchal</w:t>
      </w:r>
      <w:proofErr w:type="spellEnd"/>
      <w:r w:rsidRPr="006009E1">
        <w:rPr>
          <w:lang w:val="fr-FR"/>
        </w:rPr>
        <w:t>,</w:t>
      </w:r>
      <w:r w:rsidRPr="006009E1">
        <w:rPr>
          <w:i/>
          <w:lang w:val="fr-FR"/>
        </w:rPr>
        <w:br/>
      </w:r>
      <w:r w:rsidRPr="006009E1">
        <w:rPr>
          <w:lang w:val="fr-FR"/>
        </w:rPr>
        <w:tab/>
      </w:r>
      <w:proofErr w:type="spellStart"/>
      <w:r w:rsidRPr="006009E1">
        <w:rPr>
          <w:lang w:val="fr-FR"/>
        </w:rPr>
        <w:t>Armen</w:t>
      </w:r>
      <w:proofErr w:type="spellEnd"/>
      <w:r w:rsidRPr="006009E1">
        <w:rPr>
          <w:lang w:val="fr-FR"/>
        </w:rPr>
        <w:t xml:space="preserve"> </w:t>
      </w:r>
      <w:proofErr w:type="spellStart"/>
      <w:r w:rsidRPr="006009E1">
        <w:rPr>
          <w:lang w:val="fr-FR"/>
        </w:rPr>
        <w:t>Harutyunyan</w:t>
      </w:r>
      <w:proofErr w:type="spellEnd"/>
      <w:r w:rsidRPr="006009E1">
        <w:rPr>
          <w:lang w:val="fr-FR"/>
        </w:rPr>
        <w:t>,</w:t>
      </w:r>
      <w:r w:rsidRPr="006009E1">
        <w:rPr>
          <w:i/>
          <w:lang w:val="fr-FR"/>
        </w:rPr>
        <w:t xml:space="preserve"> juges</w:t>
      </w:r>
      <w:proofErr w:type="gramStart"/>
      <w:r w:rsidRPr="006009E1">
        <w:rPr>
          <w:i/>
          <w:lang w:val="fr-FR"/>
        </w:rPr>
        <w:t>,</w:t>
      </w:r>
      <w:proofErr w:type="gramEnd"/>
      <w:r w:rsidRPr="006009E1">
        <w:rPr>
          <w:lang w:val="fr-FR"/>
        </w:rPr>
        <w:br/>
        <w:t xml:space="preserve">et de Renata </w:t>
      </w:r>
      <w:proofErr w:type="spellStart"/>
      <w:r w:rsidRPr="006009E1">
        <w:rPr>
          <w:lang w:val="fr-FR"/>
        </w:rPr>
        <w:t>Degener</w:t>
      </w:r>
      <w:proofErr w:type="spellEnd"/>
      <w:r w:rsidRPr="006009E1">
        <w:rPr>
          <w:lang w:val="fr-FR"/>
        </w:rPr>
        <w:t xml:space="preserve">, </w:t>
      </w:r>
      <w:r w:rsidRPr="006009E1">
        <w:rPr>
          <w:i/>
          <w:lang w:val="fr-FR"/>
        </w:rPr>
        <w:t>greffière adjointe</w:t>
      </w:r>
      <w:r w:rsidRPr="006009E1">
        <w:rPr>
          <w:i/>
          <w:iCs/>
          <w:lang w:val="fr-FR"/>
        </w:rPr>
        <w:t xml:space="preserve"> d</w:t>
      </w:r>
      <w:r w:rsidRPr="006009E1">
        <w:rPr>
          <w:i/>
          <w:lang w:val="fr-FR"/>
        </w:rPr>
        <w:t>e section,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Vu la requête susmentionnée introduite le 13 mars 2015,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Vu la déclaration déposée par le gouvernement défendeur le 14 avril 2016 et invitant la Cour à rayer la requête du rôle ;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Après en avoir délibéré, rend la décision suivante :</w:t>
      </w:r>
    </w:p>
    <w:p w:rsidR="004C66DF" w:rsidRPr="006009E1" w:rsidRDefault="004C66DF" w:rsidP="006009E1">
      <w:pPr>
        <w:pStyle w:val="ECHRTitle1"/>
        <w:rPr>
          <w:lang w:val="fr-FR"/>
        </w:rPr>
      </w:pPr>
      <w:r w:rsidRPr="006009E1">
        <w:rPr>
          <w:lang w:val="fr-FR"/>
        </w:rPr>
        <w:t>FAITS ET PROCÉDURE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La requérante, M</w:t>
      </w:r>
      <w:r w:rsidRPr="006009E1">
        <w:rPr>
          <w:vertAlign w:val="superscript"/>
          <w:lang w:val="fr-FR"/>
        </w:rPr>
        <w:t>me</w:t>
      </w:r>
      <w:r w:rsidRPr="006009E1">
        <w:rPr>
          <w:lang w:val="fr-FR"/>
        </w:rPr>
        <w:t xml:space="preserve"> Klaudia </w:t>
      </w:r>
      <w:proofErr w:type="spellStart"/>
      <w:r w:rsidRPr="006009E1">
        <w:rPr>
          <w:lang w:val="fr-FR"/>
        </w:rPr>
        <w:t>Jablońska</w:t>
      </w:r>
      <w:proofErr w:type="spellEnd"/>
      <w:r w:rsidRPr="006009E1">
        <w:rPr>
          <w:lang w:val="fr-FR"/>
        </w:rPr>
        <w:t xml:space="preserve">, est une ressortissante polonaise née en 1973 et résidant à </w:t>
      </w:r>
      <w:r w:rsidR="00FC0326" w:rsidRPr="006009E1">
        <w:rPr>
          <w:lang w:val="fr-FR"/>
        </w:rPr>
        <w:t>Varsovie</w:t>
      </w:r>
      <w:r w:rsidRPr="006009E1">
        <w:rPr>
          <w:lang w:val="fr-FR"/>
        </w:rPr>
        <w:t>. Elle a été représentée devant la Cour par M</w:t>
      </w:r>
      <w:r w:rsidRPr="006009E1">
        <w:rPr>
          <w:vertAlign w:val="superscript"/>
          <w:lang w:val="fr-FR"/>
        </w:rPr>
        <w:t>e</w:t>
      </w:r>
      <w:r w:rsidRPr="006009E1">
        <w:rPr>
          <w:lang w:val="fr-FR"/>
        </w:rPr>
        <w:t xml:space="preserve"> L. </w:t>
      </w:r>
      <w:proofErr w:type="spellStart"/>
      <w:r w:rsidRPr="006009E1">
        <w:rPr>
          <w:lang w:val="fr-FR"/>
        </w:rPr>
        <w:t>Brydak</w:t>
      </w:r>
      <w:proofErr w:type="spellEnd"/>
      <w:r w:rsidRPr="006009E1">
        <w:rPr>
          <w:lang w:val="fr-FR"/>
        </w:rPr>
        <w:t xml:space="preserve">, avocat à </w:t>
      </w:r>
      <w:r w:rsidR="00FC0326" w:rsidRPr="006009E1">
        <w:rPr>
          <w:lang w:val="fr-FR"/>
        </w:rPr>
        <w:t>Varsovie</w:t>
      </w:r>
      <w:r w:rsidRPr="006009E1">
        <w:rPr>
          <w:lang w:val="fr-FR"/>
        </w:rPr>
        <w:t>.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Le Gouvernement italien (« le Gouvernement ») a été représenté par son agent, M</w:t>
      </w:r>
      <w:r w:rsidRPr="006009E1">
        <w:rPr>
          <w:vertAlign w:val="superscript"/>
          <w:lang w:val="fr-FR"/>
        </w:rPr>
        <w:t>me</w:t>
      </w:r>
      <w:r w:rsidRPr="006009E1">
        <w:rPr>
          <w:lang w:val="fr-FR"/>
        </w:rPr>
        <w:t xml:space="preserve"> E. </w:t>
      </w:r>
      <w:proofErr w:type="spellStart"/>
      <w:r w:rsidRPr="006009E1">
        <w:rPr>
          <w:lang w:val="fr-FR"/>
        </w:rPr>
        <w:t>Spatafora</w:t>
      </w:r>
      <w:proofErr w:type="spellEnd"/>
      <w:r w:rsidRPr="006009E1">
        <w:rPr>
          <w:lang w:val="fr-FR"/>
        </w:rPr>
        <w:t xml:space="preserve">, et son </w:t>
      </w:r>
      <w:proofErr w:type="spellStart"/>
      <w:r w:rsidRPr="006009E1">
        <w:rPr>
          <w:lang w:val="fr-FR"/>
        </w:rPr>
        <w:t>coagent</w:t>
      </w:r>
      <w:proofErr w:type="spellEnd"/>
      <w:r w:rsidRPr="006009E1">
        <w:rPr>
          <w:lang w:val="fr-FR"/>
        </w:rPr>
        <w:t>, M</w:t>
      </w:r>
      <w:r w:rsidRPr="006009E1">
        <w:rPr>
          <w:vertAlign w:val="superscript"/>
          <w:lang w:val="fr-FR"/>
        </w:rPr>
        <w:t>me</w:t>
      </w:r>
      <w:r w:rsidRPr="006009E1">
        <w:rPr>
          <w:lang w:val="fr-FR"/>
        </w:rPr>
        <w:t xml:space="preserve"> P. Accardo.</w:t>
      </w:r>
    </w:p>
    <w:p w:rsidR="004C66DF" w:rsidRPr="006009E1" w:rsidRDefault="004C66DF" w:rsidP="006009E1">
      <w:pPr>
        <w:pStyle w:val="ECHRHeading2"/>
        <w:rPr>
          <w:lang w:val="fr-FR"/>
        </w:rPr>
      </w:pPr>
      <w:r w:rsidRPr="006009E1">
        <w:rPr>
          <w:lang w:val="fr-FR"/>
        </w:rPr>
        <w:t>Les circonstances de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espèce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Les faits de la cause, tels qu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ils ont été exposés par les parties, peuvent se résumer comme suit.</w:t>
      </w:r>
    </w:p>
    <w:p w:rsidR="004C66DF" w:rsidRPr="006009E1" w:rsidRDefault="004C66DF" w:rsidP="006009E1">
      <w:pPr>
        <w:pStyle w:val="ECHRPara"/>
        <w:rPr>
          <w:lang w:val="fr-FR"/>
        </w:rPr>
      </w:pPr>
      <w:bookmarkStart w:id="1" w:name="ListStart"/>
      <w:bookmarkEnd w:id="1"/>
      <w:r w:rsidRPr="006009E1">
        <w:rPr>
          <w:lang w:val="fr-FR"/>
        </w:rPr>
        <w:t xml:space="preserve">Le 21 mai 2009, la requérante </w:t>
      </w:r>
      <w:r w:rsidRPr="006009E1">
        <w:rPr>
          <w:rFonts w:ascii="Times New Roman" w:hAnsi="Times New Roman" w:cs="Times New Roman"/>
          <w:bCs/>
          <w:color w:val="000000"/>
          <w:lang w:val="fr-FR"/>
        </w:rPr>
        <w:t>obtint de la part du tribunal polonais de Varsovie le droit à une</w:t>
      </w:r>
      <w:r w:rsidRPr="006009E1">
        <w:rPr>
          <w:lang w:val="fr-FR"/>
        </w:rPr>
        <w:t xml:space="preserve"> pension alimentaire destinée à garantir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entretien de sa fille, née de la relation avec un ressortissant italien.</w:t>
      </w:r>
    </w:p>
    <w:p w:rsidR="004C66DF" w:rsidRPr="006009E1" w:rsidRDefault="004C66DF" w:rsidP="006009E1">
      <w:pPr>
        <w:pStyle w:val="ECHRPara"/>
        <w:rPr>
          <w:rFonts w:ascii="Times New Roman" w:eastAsia="Times New Roman" w:hAnsi="Times New Roman" w:cs="Times New Roman"/>
          <w:szCs w:val="20"/>
          <w:lang w:val="fr-FR" w:eastAsia="en-GB"/>
        </w:rPr>
      </w:pPr>
      <w:r w:rsidRPr="006009E1">
        <w:rPr>
          <w:rFonts w:ascii="Times New Roman" w:hAnsi="Times New Roman" w:cs="Times New Roman"/>
          <w:bCs/>
          <w:color w:val="000000"/>
          <w:lang w:val="fr-FR"/>
        </w:rPr>
        <w:lastRenderedPageBreak/>
        <w:t>Ce dernier refusant de verser volontairement la somme litigieuse, la</w:t>
      </w:r>
      <w:r w:rsidR="00FC0326" w:rsidRPr="006009E1">
        <w:rPr>
          <w:rFonts w:ascii="Times New Roman" w:hAnsi="Times New Roman" w:cs="Times New Roman"/>
          <w:bCs/>
          <w:color w:val="000000"/>
          <w:lang w:val="fr-FR"/>
        </w:rPr>
        <w:t> </w:t>
      </w:r>
      <w:r w:rsidRPr="006009E1">
        <w:rPr>
          <w:rFonts w:ascii="Times New Roman" w:hAnsi="Times New Roman" w:cs="Times New Roman"/>
          <w:bCs/>
          <w:color w:val="000000"/>
          <w:lang w:val="fr-FR"/>
        </w:rPr>
        <w:t xml:space="preserve">requérante chercha à </w:t>
      </w:r>
      <w:r w:rsidRPr="006009E1">
        <w:rPr>
          <w:rFonts w:ascii="Times New Roman" w:eastAsia="Times New Roman" w:hAnsi="Times New Roman" w:cs="Times New Roman"/>
          <w:szCs w:val="20"/>
          <w:lang w:val="fr-FR" w:eastAsia="en-GB"/>
        </w:rPr>
        <w:t>se prévaloir de la Convention de New York du 20</w:t>
      </w:r>
      <w:r w:rsidR="00FC0326" w:rsidRPr="006009E1">
        <w:rPr>
          <w:rFonts w:ascii="Times New Roman" w:eastAsia="Times New Roman" w:hAnsi="Times New Roman" w:cs="Times New Roman"/>
          <w:szCs w:val="20"/>
          <w:lang w:val="fr-FR" w:eastAsia="en-GB"/>
        </w:rPr>
        <w:t> </w:t>
      </w:r>
      <w:r w:rsidRPr="006009E1">
        <w:rPr>
          <w:rFonts w:ascii="Times New Roman" w:eastAsia="Times New Roman" w:hAnsi="Times New Roman" w:cs="Times New Roman"/>
          <w:szCs w:val="20"/>
          <w:lang w:val="fr-FR" w:eastAsia="en-GB"/>
        </w:rPr>
        <w:t>juin 1956 sur le recouvrement international des aliments destinés aux enfants et à d</w:t>
      </w:r>
      <w:r w:rsidR="006009E1" w:rsidRPr="006009E1">
        <w:rPr>
          <w:rFonts w:ascii="Times New Roman" w:eastAsia="Times New Roman" w:hAnsi="Times New Roman" w:cs="Times New Roman"/>
          <w:szCs w:val="20"/>
          <w:lang w:val="fr-FR" w:eastAsia="en-GB"/>
        </w:rPr>
        <w:t>’</w:t>
      </w:r>
      <w:r w:rsidRPr="006009E1">
        <w:rPr>
          <w:rFonts w:ascii="Times New Roman" w:eastAsia="Times New Roman" w:hAnsi="Times New Roman" w:cs="Times New Roman"/>
          <w:szCs w:val="20"/>
          <w:lang w:val="fr-FR" w:eastAsia="en-GB"/>
        </w:rPr>
        <w:t>autres membres de la famille. Elle s</w:t>
      </w:r>
      <w:r w:rsidR="006009E1" w:rsidRPr="006009E1">
        <w:rPr>
          <w:rFonts w:ascii="Times New Roman" w:eastAsia="Times New Roman" w:hAnsi="Times New Roman" w:cs="Times New Roman"/>
          <w:szCs w:val="20"/>
          <w:lang w:val="fr-FR" w:eastAsia="en-GB"/>
        </w:rPr>
        <w:t>’</w:t>
      </w:r>
      <w:r w:rsidRPr="006009E1">
        <w:rPr>
          <w:rFonts w:ascii="Times New Roman" w:eastAsia="Times New Roman" w:hAnsi="Times New Roman" w:cs="Times New Roman"/>
          <w:szCs w:val="20"/>
          <w:lang w:val="fr-FR" w:eastAsia="en-GB"/>
        </w:rPr>
        <w:t>adressa pour cela au tribunal polonais territorialement compétent, le tribunal du district de Varsovie, faisant office d</w:t>
      </w:r>
      <w:r w:rsidR="006009E1" w:rsidRPr="006009E1">
        <w:rPr>
          <w:rFonts w:ascii="Times New Roman" w:eastAsia="Times New Roman" w:hAnsi="Times New Roman" w:cs="Times New Roman"/>
          <w:szCs w:val="20"/>
          <w:lang w:val="fr-FR" w:eastAsia="en-GB"/>
        </w:rPr>
        <w:t>’</w:t>
      </w:r>
      <w:r w:rsidRPr="006009E1">
        <w:rPr>
          <w:rFonts w:ascii="Times New Roman" w:eastAsia="Times New Roman" w:hAnsi="Times New Roman" w:cs="Times New Roman"/>
          <w:szCs w:val="20"/>
          <w:lang w:val="fr-FR" w:eastAsia="en-GB"/>
        </w:rPr>
        <w:t>Autorité expéditrice.</w:t>
      </w:r>
    </w:p>
    <w:p w:rsidR="004C66DF" w:rsidRPr="006009E1" w:rsidRDefault="004C66DF" w:rsidP="006009E1">
      <w:pPr>
        <w:pStyle w:val="ECHRPara"/>
        <w:rPr>
          <w:rFonts w:eastAsia="Times New Roman"/>
          <w:lang w:val="fr-FR" w:eastAsia="en-GB"/>
        </w:rPr>
      </w:pPr>
      <w:r w:rsidRPr="006009E1">
        <w:rPr>
          <w:rFonts w:eastAsia="Times New Roman"/>
          <w:lang w:val="fr-FR" w:eastAsia="en-GB"/>
        </w:rPr>
        <w:t>Le 6 mai 2010, le ministère italien de l</w:t>
      </w:r>
      <w:r w:rsidR="006009E1" w:rsidRPr="006009E1">
        <w:rPr>
          <w:rFonts w:eastAsia="Times New Roman"/>
          <w:lang w:val="fr-FR" w:eastAsia="en-GB"/>
        </w:rPr>
        <w:t>’</w:t>
      </w:r>
      <w:r w:rsidRPr="006009E1">
        <w:rPr>
          <w:rFonts w:eastAsia="Times New Roman"/>
          <w:lang w:val="fr-FR" w:eastAsia="en-GB"/>
        </w:rPr>
        <w:t>Intérieur, faisant office d</w:t>
      </w:r>
      <w:r w:rsidR="006009E1" w:rsidRPr="006009E1">
        <w:rPr>
          <w:rFonts w:eastAsia="Times New Roman"/>
          <w:lang w:val="fr-FR" w:eastAsia="en-GB"/>
        </w:rPr>
        <w:t>’</w:t>
      </w:r>
      <w:r w:rsidRPr="006009E1">
        <w:rPr>
          <w:rFonts w:eastAsia="Times New Roman"/>
          <w:lang w:val="fr-FR" w:eastAsia="en-GB"/>
        </w:rPr>
        <w:t>Institution intermédiaire, accusa réception de la demande d</w:t>
      </w:r>
      <w:r w:rsidR="006009E1" w:rsidRPr="006009E1">
        <w:rPr>
          <w:rFonts w:eastAsia="Times New Roman"/>
          <w:lang w:val="fr-FR" w:eastAsia="en-GB"/>
        </w:rPr>
        <w:t>’</w:t>
      </w:r>
      <w:r w:rsidRPr="006009E1">
        <w:rPr>
          <w:rFonts w:eastAsia="Times New Roman"/>
          <w:lang w:val="fr-FR" w:eastAsia="en-GB"/>
        </w:rPr>
        <w:t>exécution du jugement polonais.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À la date de la communication de la présente affaire, la procédure, encore pendante, avait atteint une durée de cinq ans.</w:t>
      </w:r>
    </w:p>
    <w:p w:rsidR="004C66DF" w:rsidRPr="006009E1" w:rsidRDefault="004C66DF" w:rsidP="006009E1">
      <w:pPr>
        <w:pStyle w:val="ECHRTitle1"/>
        <w:rPr>
          <w:lang w:val="fr-FR"/>
        </w:rPr>
      </w:pPr>
      <w:r w:rsidRPr="006009E1">
        <w:rPr>
          <w:lang w:val="fr-FR"/>
        </w:rPr>
        <w:t>EN DROIT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szCs w:val="24"/>
          <w:lang w:val="fr-FR"/>
        </w:rPr>
        <w:t>La partie requérante, invoquant plusieurs articles de la Convention,</w:t>
      </w:r>
      <w:r w:rsidRPr="006009E1">
        <w:rPr>
          <w:lang w:val="fr-FR"/>
        </w:rPr>
        <w:t xml:space="preserve"> se</w:t>
      </w:r>
      <w:r w:rsidR="00D86B51" w:rsidRPr="006009E1">
        <w:rPr>
          <w:lang w:val="fr-FR"/>
        </w:rPr>
        <w:t> </w:t>
      </w:r>
      <w:r w:rsidRPr="006009E1">
        <w:rPr>
          <w:lang w:val="fr-FR"/>
        </w:rPr>
        <w:t>plaint de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impossibilité de saisir un tribunal et de la durée de la procédure de recouvrement des aliments en Italie. Elle allègue en substance une violation de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article 6 § 1 de la Convention, dont les parties pertinentes sont ainsi libellées :</w:t>
      </w:r>
    </w:p>
    <w:p w:rsidR="004C66DF" w:rsidRPr="006009E1" w:rsidRDefault="004C66DF" w:rsidP="006009E1">
      <w:pPr>
        <w:pStyle w:val="ECHRParaQuote"/>
        <w:rPr>
          <w:lang w:val="fr-FR"/>
        </w:rPr>
      </w:pPr>
      <w:r w:rsidRPr="006009E1">
        <w:rPr>
          <w:lang w:val="fr-FR"/>
        </w:rPr>
        <w:t>« Toute personne a droit à ce que sa cause soit entendue (...) dans un délai raisonnable, par un tribunal (...), qui décidera (...) des contestations sur ses droits et obligations de caractère civil (...) »</w:t>
      </w:r>
    </w:p>
    <w:p w:rsidR="001B6B03" w:rsidRPr="006009E1" w:rsidRDefault="004C66DF" w:rsidP="006009E1">
      <w:pPr>
        <w:pStyle w:val="ECHRPara"/>
        <w:rPr>
          <w:szCs w:val="24"/>
          <w:lang w:val="fr-FR"/>
        </w:rPr>
      </w:pPr>
      <w:r w:rsidRPr="006009E1">
        <w:rPr>
          <w:lang w:val="fr-FR"/>
        </w:rPr>
        <w:t>Après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échec de la tentative de règlement amiable, par</w:t>
      </w:r>
      <w:r w:rsidRPr="006009E1">
        <w:rPr>
          <w:szCs w:val="24"/>
          <w:lang w:val="fr-FR"/>
        </w:rPr>
        <w:t xml:space="preserve"> une lettre du 14</w:t>
      </w:r>
      <w:r w:rsidR="00D86B51" w:rsidRPr="006009E1">
        <w:rPr>
          <w:szCs w:val="24"/>
          <w:lang w:val="fr-FR"/>
        </w:rPr>
        <w:t> </w:t>
      </w:r>
      <w:r w:rsidRPr="006009E1">
        <w:rPr>
          <w:szCs w:val="24"/>
          <w:lang w:val="fr-FR"/>
        </w:rPr>
        <w:t>avril 2016</w:t>
      </w:r>
      <w:r w:rsidRPr="006009E1">
        <w:rPr>
          <w:lang w:val="fr-FR"/>
        </w:rPr>
        <w:t>,</w:t>
      </w:r>
      <w:r w:rsidRPr="006009E1">
        <w:rPr>
          <w:szCs w:val="24"/>
          <w:lang w:val="fr-FR"/>
        </w:rPr>
        <w:t xml:space="preserve"> le Gouvernement a présenté une déclaration unilatérale afin de résoudre la question soulevée par </w:t>
      </w:r>
      <w:r w:rsidRPr="006009E1">
        <w:rPr>
          <w:lang w:val="fr-FR"/>
        </w:rPr>
        <w:t>la requête</w:t>
      </w:r>
      <w:r w:rsidRPr="006009E1">
        <w:rPr>
          <w:szCs w:val="24"/>
          <w:lang w:val="fr-FR"/>
        </w:rPr>
        <w:t>. Il a, en outre, invité la Cour à rayer la présente affaire du rôle en application de l</w:t>
      </w:r>
      <w:r w:rsidR="006009E1" w:rsidRPr="006009E1">
        <w:rPr>
          <w:szCs w:val="24"/>
          <w:lang w:val="fr-FR"/>
        </w:rPr>
        <w:t>’</w:t>
      </w:r>
      <w:r w:rsidRPr="006009E1">
        <w:rPr>
          <w:szCs w:val="24"/>
          <w:lang w:val="fr-FR"/>
        </w:rPr>
        <w:t>article 37 de la Convention.</w:t>
      </w:r>
    </w:p>
    <w:p w:rsidR="004C66DF" w:rsidRPr="006009E1" w:rsidRDefault="004C66DF" w:rsidP="006009E1">
      <w:pPr>
        <w:pStyle w:val="ECHRPara"/>
        <w:rPr>
          <w:szCs w:val="24"/>
          <w:lang w:val="fr-FR"/>
        </w:rPr>
      </w:pPr>
      <w:r w:rsidRPr="006009E1">
        <w:rPr>
          <w:szCs w:val="24"/>
          <w:lang w:val="fr-FR"/>
        </w:rPr>
        <w:t>La déclaration était ainsi libellée :</w:t>
      </w:r>
    </w:p>
    <w:p w:rsidR="004C66DF" w:rsidRPr="006009E1" w:rsidRDefault="004C66DF" w:rsidP="006009E1">
      <w:pPr>
        <w:pStyle w:val="JuQuotSub"/>
        <w:rPr>
          <w:rFonts w:ascii="Times New Roman" w:eastAsia="Times New Roman" w:hAnsi="Times New Roman" w:cs="Times New Roman"/>
          <w:sz w:val="22"/>
          <w:lang w:val="fr-FR"/>
        </w:rPr>
      </w:pPr>
      <w:r w:rsidRPr="006009E1">
        <w:rPr>
          <w:lang w:val="fr-FR"/>
        </w:rPr>
        <w:t>« </w:t>
      </w:r>
      <w:r w:rsidR="00D86B51" w:rsidRPr="006009E1">
        <w:rPr>
          <w:lang w:val="fr-FR"/>
        </w:rPr>
        <w:t> </w:t>
      </w:r>
      <w:r w:rsidRPr="006009E1">
        <w:rPr>
          <w:sz w:val="22"/>
          <w:lang w:val="fr-FR"/>
        </w:rPr>
        <w:t>L</w:t>
      </w:r>
      <w:r w:rsidRPr="006009E1">
        <w:rPr>
          <w:rFonts w:ascii="Times New Roman" w:eastAsia="Times New Roman" w:hAnsi="Times New Roman" w:cs="Times New Roman"/>
          <w:sz w:val="22"/>
          <w:lang w:val="fr-FR"/>
        </w:rPr>
        <w:t>e Gouvernement italien reconnaît que la requérante a subi la violation de l</w:t>
      </w:r>
      <w:r w:rsidR="006009E1" w:rsidRPr="006009E1">
        <w:rPr>
          <w:rFonts w:ascii="Times New Roman" w:eastAsia="Times New Roman" w:hAnsi="Times New Roman" w:cs="Times New Roman"/>
          <w:sz w:val="22"/>
          <w:lang w:val="fr-FR"/>
        </w:rPr>
        <w:t>’</w:t>
      </w:r>
      <w:r w:rsidRPr="006009E1">
        <w:rPr>
          <w:rFonts w:ascii="Times New Roman" w:eastAsia="Times New Roman" w:hAnsi="Times New Roman" w:cs="Times New Roman"/>
          <w:sz w:val="22"/>
          <w:lang w:val="fr-FR"/>
        </w:rPr>
        <w:t>article 6 § 1 de la Convention, à cause de la durée excessive de la procédure de recouvrement de la créance alimentaire en exé</w:t>
      </w:r>
      <w:r w:rsidR="00D86B51" w:rsidRPr="006009E1">
        <w:rPr>
          <w:rFonts w:ascii="Times New Roman" w:eastAsia="Times New Roman" w:hAnsi="Times New Roman" w:cs="Times New Roman"/>
          <w:sz w:val="22"/>
          <w:lang w:val="fr-FR"/>
        </w:rPr>
        <w:t>cution du jugement du Tribunal p</w:t>
      </w:r>
      <w:r w:rsidRPr="006009E1">
        <w:rPr>
          <w:rFonts w:ascii="Times New Roman" w:eastAsia="Times New Roman" w:hAnsi="Times New Roman" w:cs="Times New Roman"/>
          <w:sz w:val="22"/>
          <w:lang w:val="fr-FR"/>
        </w:rPr>
        <w:t xml:space="preserve">olonais, demandée en 2010 et en raison des </w:t>
      </w:r>
      <w:proofErr w:type="gramStart"/>
      <w:r w:rsidRPr="006009E1">
        <w:rPr>
          <w:rFonts w:ascii="Times New Roman" w:eastAsia="Times New Roman" w:hAnsi="Times New Roman" w:cs="Times New Roman"/>
          <w:sz w:val="22"/>
          <w:lang w:val="fr-FR"/>
        </w:rPr>
        <w:t>difficultés</w:t>
      </w:r>
      <w:proofErr w:type="gramEnd"/>
      <w:r w:rsidRPr="006009E1">
        <w:rPr>
          <w:rFonts w:ascii="Times New Roman" w:eastAsia="Times New Roman" w:hAnsi="Times New Roman" w:cs="Times New Roman"/>
          <w:sz w:val="22"/>
          <w:lang w:val="fr-FR"/>
        </w:rPr>
        <w:t xml:space="preserve"> d</w:t>
      </w:r>
      <w:r w:rsidR="006009E1" w:rsidRPr="006009E1">
        <w:rPr>
          <w:rFonts w:ascii="Times New Roman" w:eastAsia="Times New Roman" w:hAnsi="Times New Roman" w:cs="Times New Roman"/>
          <w:sz w:val="22"/>
          <w:lang w:val="fr-FR"/>
        </w:rPr>
        <w:t>’</w:t>
      </w:r>
      <w:r w:rsidRPr="006009E1">
        <w:rPr>
          <w:rFonts w:ascii="Times New Roman" w:eastAsia="Times New Roman" w:hAnsi="Times New Roman" w:cs="Times New Roman"/>
          <w:sz w:val="22"/>
          <w:lang w:val="fr-FR"/>
        </w:rPr>
        <w:t>accès à un remède judiciaire efficace et des autres aspects connexes.</w:t>
      </w:r>
    </w:p>
    <w:p w:rsidR="004C66DF" w:rsidRPr="006009E1" w:rsidRDefault="004C66DF" w:rsidP="006009E1">
      <w:pPr>
        <w:pStyle w:val="JuQuotSub"/>
        <w:rPr>
          <w:sz w:val="22"/>
          <w:lang w:val="fr-FR"/>
        </w:rPr>
      </w:pPr>
      <w:r w:rsidRPr="006009E1">
        <w:rPr>
          <w:rFonts w:ascii="Times New Roman" w:eastAsia="Times New Roman" w:hAnsi="Times New Roman" w:cs="Times New Roman"/>
          <w:sz w:val="22"/>
          <w:lang w:val="fr-FR"/>
        </w:rPr>
        <w:t>Le Gouvernement italien offre,</w:t>
      </w:r>
      <w:r w:rsidRPr="006009E1">
        <w:rPr>
          <w:sz w:val="22"/>
          <w:lang w:val="fr-FR"/>
        </w:rPr>
        <w:t xml:space="preserve"> au sens de l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article 62 A du règlement de la Cour, la somme de 5 200 (cinq mille deux cents) euros couvrant tout préjudice moral et la somme de 1 500 (mille cinq cents) euros couvrant l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ensemble des frais et dépens.</w:t>
      </w:r>
    </w:p>
    <w:p w:rsidR="001B6B03" w:rsidRPr="006009E1" w:rsidRDefault="004C66DF" w:rsidP="006009E1">
      <w:pPr>
        <w:pStyle w:val="JuQuotSub"/>
        <w:rPr>
          <w:sz w:val="22"/>
          <w:lang w:val="fr-FR"/>
        </w:rPr>
      </w:pPr>
      <w:r w:rsidRPr="006009E1">
        <w:rPr>
          <w:sz w:val="22"/>
          <w:lang w:val="fr-FR"/>
        </w:rPr>
        <w:t>Cette somme sera payée dans les trois mois suivant la date de la notification de la décision de la Cour rendue conformément à l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article 37 § 1 de la Convention européenne des droits de l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homme. À défaut de règlement dans ledit délai, le Gouvernement s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 xml:space="preserve">engage à verser, à compter de </w:t>
      </w:r>
      <w:r w:rsidRPr="006009E1">
        <w:rPr>
          <w:sz w:val="22"/>
          <w:lang w:val="fr-FR"/>
        </w:rPr>
        <w:lastRenderedPageBreak/>
        <w:t>l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expiration de celui-ci et jusqu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au règlement effectif de la somme en question, un intérêt simple à un taux égal à celui de la facilité de prêt marginal de la Banque centrale européenne, augmenté de trois points de pourcentage.</w:t>
      </w:r>
    </w:p>
    <w:p w:rsidR="004C66DF" w:rsidRPr="006009E1" w:rsidRDefault="004C66DF" w:rsidP="006009E1">
      <w:pPr>
        <w:pStyle w:val="JuQuotSub"/>
        <w:rPr>
          <w:sz w:val="22"/>
          <w:lang w:val="fr-FR"/>
        </w:rPr>
      </w:pPr>
      <w:r w:rsidRPr="006009E1">
        <w:rPr>
          <w:sz w:val="22"/>
          <w:lang w:val="fr-FR"/>
        </w:rPr>
        <w:t>Ce versement vaudra règlement définitif de l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affaire.</w:t>
      </w:r>
    </w:p>
    <w:p w:rsidR="004C66DF" w:rsidRPr="006009E1" w:rsidRDefault="004C66DF" w:rsidP="006009E1">
      <w:pPr>
        <w:pStyle w:val="JuQuotSub"/>
        <w:rPr>
          <w:sz w:val="22"/>
          <w:lang w:val="fr-FR"/>
        </w:rPr>
      </w:pPr>
      <w:r w:rsidRPr="006009E1">
        <w:rPr>
          <w:sz w:val="22"/>
          <w:lang w:val="fr-FR"/>
        </w:rPr>
        <w:t>Le Gouvernement estime que ces sommes constituent un redressement adéquat de la violation à l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aune de la jurisprudence de la Cour en la matière.</w:t>
      </w:r>
    </w:p>
    <w:p w:rsidR="004C66DF" w:rsidRPr="006009E1" w:rsidRDefault="004C66DF" w:rsidP="006009E1">
      <w:pPr>
        <w:pStyle w:val="JuQuotSub"/>
        <w:rPr>
          <w:lang w:val="fr-FR"/>
        </w:rPr>
      </w:pPr>
      <w:r w:rsidRPr="006009E1">
        <w:rPr>
          <w:sz w:val="22"/>
          <w:lang w:val="fr-FR"/>
        </w:rPr>
        <w:t>Le Gouvernement invite respectueusement la Cour à dire qu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il ne se justifie plus de poursuivre l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examen de la requête et de la rayer du rôle conformément à l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article 37 de la Convention, car les conditions prévues par l</w:t>
      </w:r>
      <w:r w:rsidR="006009E1" w:rsidRPr="006009E1">
        <w:rPr>
          <w:sz w:val="22"/>
          <w:lang w:val="fr-FR"/>
        </w:rPr>
        <w:t>’</w:t>
      </w:r>
      <w:r w:rsidRPr="006009E1">
        <w:rPr>
          <w:sz w:val="22"/>
          <w:lang w:val="fr-FR"/>
        </w:rPr>
        <w:t>article 62 A du règlement de la Cour sont remplies. »</w:t>
      </w:r>
    </w:p>
    <w:p w:rsidR="004C66DF" w:rsidRPr="006009E1" w:rsidRDefault="004C66DF" w:rsidP="006009E1">
      <w:pPr>
        <w:pStyle w:val="ECHRPara"/>
        <w:rPr>
          <w:szCs w:val="24"/>
          <w:lang w:val="fr-FR"/>
        </w:rPr>
      </w:pPr>
      <w:r w:rsidRPr="006009E1">
        <w:rPr>
          <w:szCs w:val="24"/>
          <w:lang w:val="fr-FR"/>
        </w:rPr>
        <w:t>La partie requérante n</w:t>
      </w:r>
      <w:r w:rsidR="006009E1" w:rsidRPr="006009E1">
        <w:rPr>
          <w:szCs w:val="24"/>
          <w:lang w:val="fr-FR"/>
        </w:rPr>
        <w:t>’</w:t>
      </w:r>
      <w:r w:rsidRPr="006009E1">
        <w:rPr>
          <w:szCs w:val="24"/>
          <w:lang w:val="fr-FR"/>
        </w:rPr>
        <w:t xml:space="preserve">a pas </w:t>
      </w:r>
      <w:r w:rsidRPr="006009E1">
        <w:rPr>
          <w:lang w:val="fr-FR"/>
        </w:rPr>
        <w:t>indiqué, dans le délai indiqué par la Cour, sa position quant à la proposition de déclaration unilatérale présentée par le Gouvernement. Ainsi, la Cour considère que la requérante n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est pas satisfaite des termes de la déclaration unilatérale.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szCs w:val="24"/>
          <w:lang w:val="fr-FR"/>
        </w:rPr>
        <w:t>La Cour rappelle qu</w:t>
      </w:r>
      <w:r w:rsidR="006009E1" w:rsidRPr="006009E1">
        <w:rPr>
          <w:szCs w:val="24"/>
          <w:lang w:val="fr-FR"/>
        </w:rPr>
        <w:t>’</w:t>
      </w:r>
      <w:r w:rsidRPr="006009E1">
        <w:rPr>
          <w:szCs w:val="24"/>
          <w:lang w:val="fr-FR"/>
        </w:rPr>
        <w:t>en vertu de l</w:t>
      </w:r>
      <w:r w:rsidR="006009E1" w:rsidRPr="006009E1">
        <w:rPr>
          <w:szCs w:val="24"/>
          <w:lang w:val="fr-FR"/>
        </w:rPr>
        <w:t>’</w:t>
      </w:r>
      <w:r w:rsidRPr="006009E1">
        <w:rPr>
          <w:szCs w:val="24"/>
          <w:lang w:val="fr-FR"/>
        </w:rPr>
        <w:t xml:space="preserve">article </w:t>
      </w:r>
      <w:r w:rsidRPr="006009E1">
        <w:rPr>
          <w:lang w:val="fr-FR"/>
        </w:rPr>
        <w:t>37 de la Convention, à tout moment de la procédure, elle peut décider de rayer une requête du rôle lorsque les circonstances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amènent à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une des conclusions énoncées aux alinéas a), b) ou c) du paragraphe 1 de cet article.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article 37 § 1 c) lui permet en particulier de rayer une affaire du rôle si :</w:t>
      </w:r>
    </w:p>
    <w:p w:rsidR="004C66DF" w:rsidRPr="006009E1" w:rsidRDefault="004C66DF" w:rsidP="006009E1">
      <w:pPr>
        <w:pStyle w:val="ECHRParaQuote"/>
        <w:rPr>
          <w:szCs w:val="24"/>
          <w:lang w:val="fr-FR"/>
        </w:rPr>
      </w:pPr>
      <w:r w:rsidRPr="006009E1">
        <w:rPr>
          <w:lang w:val="fr-FR"/>
        </w:rPr>
        <w:t>« (</w:t>
      </w:r>
      <w:r w:rsidR="001B6B03" w:rsidRPr="006009E1">
        <w:rPr>
          <w:lang w:val="fr-FR"/>
        </w:rPr>
        <w:t>...</w:t>
      </w:r>
      <w:r w:rsidRPr="006009E1">
        <w:rPr>
          <w:lang w:val="fr-FR"/>
        </w:rPr>
        <w:t>) pour tout autre motif dont la Cour constate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existence, il ne se justifie plus de poursuivre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examen de la requête. »</w:t>
      </w:r>
    </w:p>
    <w:p w:rsidR="004C66DF" w:rsidRPr="006009E1" w:rsidRDefault="004C66DF" w:rsidP="006009E1">
      <w:pPr>
        <w:pStyle w:val="ECHRPara"/>
        <w:rPr>
          <w:szCs w:val="24"/>
          <w:lang w:val="fr-FR"/>
        </w:rPr>
      </w:pPr>
      <w:r w:rsidRPr="006009E1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6009E1" w:rsidRPr="006009E1">
        <w:rPr>
          <w:szCs w:val="24"/>
          <w:lang w:val="fr-FR"/>
        </w:rPr>
        <w:t>’</w:t>
      </w:r>
      <w:r w:rsidRPr="006009E1">
        <w:rPr>
          <w:szCs w:val="24"/>
          <w:lang w:val="fr-FR"/>
        </w:rPr>
        <w:t>article 37 § 1 c) sur la base d</w:t>
      </w:r>
      <w:r w:rsidR="006009E1" w:rsidRPr="006009E1">
        <w:rPr>
          <w:szCs w:val="24"/>
          <w:lang w:val="fr-FR"/>
        </w:rPr>
        <w:t>’</w:t>
      </w:r>
      <w:r w:rsidRPr="006009E1">
        <w:rPr>
          <w:szCs w:val="24"/>
          <w:lang w:val="fr-FR"/>
        </w:rPr>
        <w:t>une déclaration unilatérale du Gouvernement défendeur même si le requérant souhaite que l</w:t>
      </w:r>
      <w:r w:rsidR="006009E1" w:rsidRPr="006009E1">
        <w:rPr>
          <w:szCs w:val="24"/>
          <w:lang w:val="fr-FR"/>
        </w:rPr>
        <w:t>’</w:t>
      </w:r>
      <w:r w:rsidRPr="006009E1">
        <w:rPr>
          <w:szCs w:val="24"/>
          <w:lang w:val="fr-FR"/>
        </w:rPr>
        <w:t>examen de l</w:t>
      </w:r>
      <w:r w:rsidR="006009E1" w:rsidRPr="006009E1">
        <w:rPr>
          <w:szCs w:val="24"/>
          <w:lang w:val="fr-FR"/>
        </w:rPr>
        <w:t>’</w:t>
      </w:r>
      <w:r w:rsidRPr="006009E1">
        <w:rPr>
          <w:szCs w:val="24"/>
          <w:lang w:val="fr-FR"/>
        </w:rPr>
        <w:t>affaire se poursuive.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À</w:t>
      </w:r>
      <w:r w:rsidRPr="006009E1">
        <w:rPr>
          <w:szCs w:val="24"/>
          <w:lang w:val="fr-FR"/>
        </w:rPr>
        <w:t xml:space="preserve"> cette fin, la Cour a examiné de près la déclaration à la lumière des principes que consacre sa jurisprudence, en particulier l</w:t>
      </w:r>
      <w:r w:rsidR="006009E1" w:rsidRPr="006009E1">
        <w:rPr>
          <w:szCs w:val="24"/>
          <w:lang w:val="fr-FR"/>
        </w:rPr>
        <w:t>’</w:t>
      </w:r>
      <w:r w:rsidRPr="006009E1">
        <w:rPr>
          <w:szCs w:val="24"/>
          <w:lang w:val="fr-FR"/>
        </w:rPr>
        <w:t xml:space="preserve">arrêt </w:t>
      </w:r>
      <w:proofErr w:type="spellStart"/>
      <w:r w:rsidRPr="006009E1">
        <w:rPr>
          <w:i/>
          <w:lang w:val="fr-FR"/>
        </w:rPr>
        <w:t>Tahsin</w:t>
      </w:r>
      <w:proofErr w:type="spellEnd"/>
      <w:r w:rsidRPr="006009E1">
        <w:rPr>
          <w:i/>
          <w:lang w:val="fr-FR"/>
        </w:rPr>
        <w:t xml:space="preserve"> </w:t>
      </w:r>
      <w:proofErr w:type="spellStart"/>
      <w:r w:rsidRPr="006009E1">
        <w:rPr>
          <w:i/>
          <w:lang w:val="fr-FR"/>
        </w:rPr>
        <w:t>Acar</w:t>
      </w:r>
      <w:proofErr w:type="spellEnd"/>
      <w:r w:rsidRPr="006009E1">
        <w:rPr>
          <w:i/>
          <w:lang w:val="fr-FR"/>
        </w:rPr>
        <w:t xml:space="preserve"> </w:t>
      </w:r>
      <w:r w:rsidRPr="006009E1">
        <w:rPr>
          <w:lang w:val="fr-FR"/>
        </w:rPr>
        <w:t>(</w:t>
      </w:r>
      <w:proofErr w:type="spellStart"/>
      <w:r w:rsidRPr="006009E1">
        <w:rPr>
          <w:i/>
          <w:lang w:val="fr-FR"/>
        </w:rPr>
        <w:t>Tahsin</w:t>
      </w:r>
      <w:proofErr w:type="spellEnd"/>
      <w:r w:rsidRPr="006009E1">
        <w:rPr>
          <w:i/>
          <w:lang w:val="fr-FR"/>
        </w:rPr>
        <w:t xml:space="preserve"> </w:t>
      </w:r>
      <w:proofErr w:type="spellStart"/>
      <w:r w:rsidRPr="006009E1">
        <w:rPr>
          <w:i/>
          <w:lang w:val="fr-FR"/>
        </w:rPr>
        <w:t>Acar</w:t>
      </w:r>
      <w:proofErr w:type="spellEnd"/>
      <w:r w:rsidRPr="006009E1">
        <w:rPr>
          <w:i/>
          <w:lang w:val="fr-FR"/>
        </w:rPr>
        <w:t xml:space="preserve"> c. Turquie</w:t>
      </w:r>
      <w:r w:rsidRPr="006009E1">
        <w:rPr>
          <w:iCs/>
          <w:lang w:val="fr-FR"/>
        </w:rPr>
        <w:t xml:space="preserve"> (question préliminaire) </w:t>
      </w:r>
      <w:r w:rsidRPr="006009E1">
        <w:rPr>
          <w:lang w:val="fr-FR"/>
        </w:rPr>
        <w:t>[GC],</w:t>
      </w:r>
      <w:r w:rsidRPr="006009E1">
        <w:rPr>
          <w:i/>
          <w:lang w:val="fr-FR"/>
        </w:rPr>
        <w:t xml:space="preserve"> </w:t>
      </w:r>
      <w:r w:rsidRPr="006009E1">
        <w:rPr>
          <w:lang w:val="fr-FR"/>
        </w:rPr>
        <w:t>n</w:t>
      </w:r>
      <w:r w:rsidRPr="006009E1">
        <w:rPr>
          <w:vertAlign w:val="superscript"/>
          <w:lang w:val="fr-FR"/>
        </w:rPr>
        <w:t xml:space="preserve">o </w:t>
      </w:r>
      <w:r w:rsidRPr="006009E1">
        <w:rPr>
          <w:lang w:val="fr-FR"/>
        </w:rPr>
        <w:t>26307/95, §§ 75</w:t>
      </w:r>
      <w:r w:rsidRPr="006009E1">
        <w:rPr>
          <w:lang w:val="fr-FR"/>
        </w:rPr>
        <w:noBreakHyphen/>
        <w:t>77, CEDH 2003</w:t>
      </w:r>
      <w:r w:rsidRPr="006009E1">
        <w:rPr>
          <w:lang w:val="fr-FR"/>
        </w:rPr>
        <w:noBreakHyphen/>
        <w:t xml:space="preserve">VI, </w:t>
      </w:r>
      <w:r w:rsidRPr="006009E1">
        <w:rPr>
          <w:i/>
          <w:szCs w:val="24"/>
          <w:lang w:val="fr-FR"/>
        </w:rPr>
        <w:t xml:space="preserve">WAZA </w:t>
      </w:r>
      <w:proofErr w:type="spellStart"/>
      <w:r w:rsidRPr="006009E1">
        <w:rPr>
          <w:i/>
          <w:szCs w:val="24"/>
          <w:lang w:val="fr-FR"/>
        </w:rPr>
        <w:t>Spółka</w:t>
      </w:r>
      <w:proofErr w:type="spellEnd"/>
      <w:r w:rsidRPr="006009E1">
        <w:rPr>
          <w:i/>
          <w:szCs w:val="24"/>
          <w:lang w:val="fr-FR"/>
        </w:rPr>
        <w:t xml:space="preserve"> z </w:t>
      </w:r>
      <w:proofErr w:type="spellStart"/>
      <w:r w:rsidRPr="006009E1">
        <w:rPr>
          <w:i/>
          <w:szCs w:val="24"/>
          <w:lang w:val="fr-FR"/>
        </w:rPr>
        <w:t>o.o</w:t>
      </w:r>
      <w:proofErr w:type="spellEnd"/>
      <w:r w:rsidRPr="006009E1">
        <w:rPr>
          <w:i/>
          <w:szCs w:val="24"/>
          <w:lang w:val="fr-FR"/>
        </w:rPr>
        <w:t xml:space="preserve">. c. Pologne </w:t>
      </w:r>
      <w:r w:rsidRPr="006009E1">
        <w:rPr>
          <w:szCs w:val="24"/>
          <w:lang w:val="fr-FR"/>
        </w:rPr>
        <w:t>(déc.), n</w:t>
      </w:r>
      <w:r w:rsidRPr="006009E1">
        <w:rPr>
          <w:szCs w:val="24"/>
          <w:vertAlign w:val="superscript"/>
          <w:lang w:val="fr-FR"/>
        </w:rPr>
        <w:t>o</w:t>
      </w:r>
      <w:r w:rsidRPr="006009E1">
        <w:rPr>
          <w:szCs w:val="24"/>
          <w:lang w:val="fr-FR"/>
        </w:rPr>
        <w:t xml:space="preserve"> 11602/02, 26 juin 2007, et </w:t>
      </w:r>
      <w:proofErr w:type="spellStart"/>
      <w:r w:rsidRPr="006009E1">
        <w:rPr>
          <w:i/>
          <w:szCs w:val="24"/>
          <w:lang w:val="fr-FR"/>
        </w:rPr>
        <w:t>Sulwińska</w:t>
      </w:r>
      <w:proofErr w:type="spellEnd"/>
      <w:r w:rsidRPr="006009E1">
        <w:rPr>
          <w:i/>
          <w:szCs w:val="24"/>
          <w:lang w:val="fr-FR"/>
        </w:rPr>
        <w:t xml:space="preserve"> c. Pologne</w:t>
      </w:r>
      <w:r w:rsidRPr="006009E1">
        <w:rPr>
          <w:szCs w:val="24"/>
          <w:lang w:val="fr-FR"/>
        </w:rPr>
        <w:t xml:space="preserve"> (déc.), n</w:t>
      </w:r>
      <w:r w:rsidRPr="006009E1">
        <w:rPr>
          <w:szCs w:val="24"/>
          <w:vertAlign w:val="superscript"/>
          <w:lang w:val="fr-FR"/>
        </w:rPr>
        <w:t>o</w:t>
      </w:r>
      <w:r w:rsidRPr="006009E1">
        <w:rPr>
          <w:szCs w:val="24"/>
          <w:lang w:val="fr-FR"/>
        </w:rPr>
        <w:t xml:space="preserve"> 28953/03, 18 septembre 2007</w:t>
      </w:r>
      <w:r w:rsidRPr="006009E1">
        <w:rPr>
          <w:lang w:val="fr-FR"/>
        </w:rPr>
        <w:t>).</w:t>
      </w:r>
    </w:p>
    <w:p w:rsidR="004C66DF" w:rsidRPr="006009E1" w:rsidRDefault="004C66DF" w:rsidP="006009E1">
      <w:pPr>
        <w:pStyle w:val="ECHRPara"/>
        <w:rPr>
          <w:i/>
          <w:lang w:val="fr-FR"/>
        </w:rPr>
      </w:pPr>
      <w:r w:rsidRPr="006009E1">
        <w:rPr>
          <w:lang w:val="fr-FR"/>
        </w:rPr>
        <w:t>La Cour a établi dans un certain nombre d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affaires, dont celles dirigées contre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Italie, sa pratique en ce qui concerne les griefs invoqués (voir</w:t>
      </w:r>
      <w:r w:rsidR="00CC3908" w:rsidRPr="006009E1">
        <w:rPr>
          <w:lang w:val="fr-FR"/>
        </w:rPr>
        <w:t> </w:t>
      </w:r>
      <w:proofErr w:type="spellStart"/>
      <w:r w:rsidRPr="006009E1">
        <w:rPr>
          <w:i/>
          <w:szCs w:val="24"/>
          <w:lang w:val="fr-FR"/>
        </w:rPr>
        <w:t>Cocchiarella</w:t>
      </w:r>
      <w:proofErr w:type="spellEnd"/>
      <w:r w:rsidRPr="006009E1">
        <w:rPr>
          <w:i/>
          <w:szCs w:val="24"/>
          <w:lang w:val="fr-FR"/>
        </w:rPr>
        <w:t xml:space="preserve"> c. </w:t>
      </w:r>
      <w:r w:rsidRPr="006009E1">
        <w:rPr>
          <w:i/>
          <w:spacing w:val="-2"/>
          <w:szCs w:val="24"/>
          <w:lang w:val="fr-FR"/>
        </w:rPr>
        <w:t>Italie</w:t>
      </w:r>
      <w:r w:rsidRPr="006009E1">
        <w:rPr>
          <w:szCs w:val="24"/>
          <w:lang w:val="fr-FR"/>
        </w:rPr>
        <w:t xml:space="preserve"> [GC], n</w:t>
      </w:r>
      <w:r w:rsidRPr="006009E1">
        <w:rPr>
          <w:szCs w:val="24"/>
          <w:vertAlign w:val="superscript"/>
          <w:lang w:val="fr-FR"/>
        </w:rPr>
        <w:t>o</w:t>
      </w:r>
      <w:r w:rsidRPr="006009E1">
        <w:rPr>
          <w:szCs w:val="24"/>
          <w:lang w:val="fr-FR"/>
        </w:rPr>
        <w:t xml:space="preserve"> 64886/01, §§ 69-98, CEDH 2006</w:t>
      </w:r>
      <w:r w:rsidRPr="006009E1">
        <w:rPr>
          <w:szCs w:val="24"/>
          <w:lang w:val="fr-FR"/>
        </w:rPr>
        <w:noBreakHyphen/>
        <w:t xml:space="preserve">V ; </w:t>
      </w:r>
      <w:r w:rsidRPr="006009E1">
        <w:rPr>
          <w:i/>
          <w:lang w:val="fr-FR"/>
        </w:rPr>
        <w:t>K. c. Italie</w:t>
      </w:r>
      <w:r w:rsidRPr="006009E1">
        <w:rPr>
          <w:lang w:val="fr-FR"/>
        </w:rPr>
        <w:t>, n</w:t>
      </w:r>
      <w:r w:rsidRPr="006009E1">
        <w:rPr>
          <w:vertAlign w:val="superscript"/>
          <w:lang w:val="fr-FR"/>
        </w:rPr>
        <w:t>o</w:t>
      </w:r>
      <w:r w:rsidRPr="006009E1">
        <w:rPr>
          <w:lang w:val="fr-FR"/>
        </w:rPr>
        <w:t xml:space="preserve"> 38805/97, CEDH 2004</w:t>
      </w:r>
      <w:r w:rsidRPr="006009E1">
        <w:rPr>
          <w:lang w:val="fr-FR"/>
        </w:rPr>
        <w:noBreakHyphen/>
        <w:t xml:space="preserve">VIII ; </w:t>
      </w:r>
      <w:r w:rsidRPr="006009E1">
        <w:rPr>
          <w:i/>
          <w:lang w:val="fr-FR"/>
        </w:rPr>
        <w:t>Panetta c. Italie</w:t>
      </w:r>
      <w:r w:rsidRPr="006009E1">
        <w:rPr>
          <w:lang w:val="fr-FR"/>
        </w:rPr>
        <w:t>, n</w:t>
      </w:r>
      <w:r w:rsidRPr="006009E1">
        <w:rPr>
          <w:vertAlign w:val="superscript"/>
          <w:lang w:val="fr-FR"/>
        </w:rPr>
        <w:t>o</w:t>
      </w:r>
      <w:r w:rsidRPr="006009E1">
        <w:rPr>
          <w:lang w:val="fr-FR"/>
        </w:rPr>
        <w:t xml:space="preserve"> 38624/07</w:t>
      </w:r>
      <w:r w:rsidRPr="006009E1">
        <w:rPr>
          <w:snapToGrid w:val="0"/>
          <w:lang w:val="fr-FR"/>
        </w:rPr>
        <w:t xml:space="preserve">, 15 </w:t>
      </w:r>
      <w:r w:rsidRPr="006009E1">
        <w:rPr>
          <w:lang w:val="fr-FR"/>
        </w:rPr>
        <w:t>juillet</w:t>
      </w:r>
      <w:r w:rsidRPr="006009E1">
        <w:rPr>
          <w:snapToGrid w:val="0"/>
          <w:lang w:val="fr-FR"/>
        </w:rPr>
        <w:t xml:space="preserve"> 2014 ; </w:t>
      </w:r>
      <w:proofErr w:type="spellStart"/>
      <w:r w:rsidRPr="006009E1">
        <w:rPr>
          <w:i/>
          <w:lang w:val="fr-FR"/>
        </w:rPr>
        <w:t>Romańczyk</w:t>
      </w:r>
      <w:proofErr w:type="spellEnd"/>
      <w:r w:rsidRPr="006009E1">
        <w:rPr>
          <w:i/>
          <w:lang w:val="fr-FR"/>
        </w:rPr>
        <w:t xml:space="preserve"> c. France</w:t>
      </w:r>
      <w:r w:rsidRPr="006009E1">
        <w:rPr>
          <w:lang w:val="fr-FR"/>
        </w:rPr>
        <w:t>, n</w:t>
      </w:r>
      <w:r w:rsidRPr="006009E1">
        <w:rPr>
          <w:vertAlign w:val="superscript"/>
          <w:lang w:val="fr-FR"/>
        </w:rPr>
        <w:t>o</w:t>
      </w:r>
      <w:r w:rsidRPr="006009E1">
        <w:rPr>
          <w:lang w:val="fr-FR"/>
        </w:rPr>
        <w:t xml:space="preserve"> 7618/05</w:t>
      </w:r>
      <w:r w:rsidRPr="006009E1">
        <w:rPr>
          <w:snapToGrid w:val="0"/>
          <w:szCs w:val="24"/>
          <w:lang w:val="fr-FR"/>
        </w:rPr>
        <w:t xml:space="preserve">, § 50-67, </w:t>
      </w:r>
      <w:r w:rsidRPr="006009E1">
        <w:rPr>
          <w:szCs w:val="24"/>
          <w:lang w:val="fr-FR"/>
        </w:rPr>
        <w:t>18</w:t>
      </w:r>
      <w:r w:rsidR="00CC3908" w:rsidRPr="006009E1">
        <w:rPr>
          <w:szCs w:val="24"/>
          <w:lang w:val="fr-FR"/>
        </w:rPr>
        <w:t> </w:t>
      </w:r>
      <w:r w:rsidRPr="006009E1">
        <w:rPr>
          <w:snapToGrid w:val="0"/>
          <w:szCs w:val="24"/>
          <w:lang w:val="fr-FR"/>
        </w:rPr>
        <w:t>novembre</w:t>
      </w:r>
      <w:r w:rsidR="00CC3908" w:rsidRPr="006009E1">
        <w:rPr>
          <w:snapToGrid w:val="0"/>
          <w:szCs w:val="24"/>
          <w:lang w:val="fr-FR"/>
        </w:rPr>
        <w:t> </w:t>
      </w:r>
      <w:r w:rsidRPr="006009E1">
        <w:rPr>
          <w:snapToGrid w:val="0"/>
          <w:szCs w:val="24"/>
          <w:lang w:val="fr-FR"/>
        </w:rPr>
        <w:t>2010</w:t>
      </w:r>
      <w:r w:rsidRPr="006009E1">
        <w:rPr>
          <w:szCs w:val="24"/>
          <w:lang w:val="fr-FR"/>
        </w:rPr>
        <w:t>)</w:t>
      </w:r>
      <w:r w:rsidRPr="006009E1">
        <w:rPr>
          <w:lang w:val="fr-FR"/>
        </w:rPr>
        <w:t>.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Eu égard à la nature des concessions que renferme la déclaration du Gouvernement, ainsi qu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au montant de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indemnisation proposée à convertir en zlotys – qui est conforme aux montants alloués dans des affaires similaires –, la Cour estime qu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il ne se justifie plus de poursuivre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examen de la présente requête (article 37 § 1 c).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lastRenderedPageBreak/>
        <w:t>En outre, à la lumière des considérations qui précèdent, et eu égard en particulier à sa jurisprudence claire et abondante à ce sujet, la Cour estime que le respect des droits de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homme garantis par la Convention et ses Protocoles n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exige pas qu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elle poursuive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 xml:space="preserve">examen des requêtes (article 37 § 1 </w:t>
      </w:r>
      <w:r w:rsidRPr="006009E1">
        <w:rPr>
          <w:i/>
          <w:iCs/>
          <w:lang w:val="fr-FR"/>
        </w:rPr>
        <w:t>in fine</w:t>
      </w:r>
      <w:r w:rsidRPr="006009E1">
        <w:rPr>
          <w:lang w:val="fr-FR"/>
        </w:rPr>
        <w:t>).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Enfin, la Cour souligne que, dans le cas où le Gouvernement ne respecterait pas les termes de sa déclaration unilatérale, la requête pourrait être réinscrite au rôle en vertu de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article 37 § 2 de la Convention (</w:t>
      </w:r>
      <w:proofErr w:type="spellStart"/>
      <w:r w:rsidRPr="006009E1">
        <w:rPr>
          <w:i/>
          <w:lang w:val="fr-FR"/>
        </w:rPr>
        <w:t>Josipović</w:t>
      </w:r>
      <w:proofErr w:type="spellEnd"/>
      <w:r w:rsidRPr="006009E1">
        <w:rPr>
          <w:i/>
          <w:lang w:val="fr-FR"/>
        </w:rPr>
        <w:t xml:space="preserve"> c. Serbie</w:t>
      </w:r>
      <w:r w:rsidRPr="006009E1">
        <w:rPr>
          <w:lang w:val="fr-FR"/>
        </w:rPr>
        <w:t xml:space="preserve"> (déc.), nº 18369/07, 4 mars 2008).</w:t>
      </w:r>
    </w:p>
    <w:p w:rsidR="004C66DF" w:rsidRPr="006009E1" w:rsidRDefault="004C66DF" w:rsidP="006009E1">
      <w:pPr>
        <w:pStyle w:val="ECHRPara"/>
        <w:rPr>
          <w:lang w:val="fr-FR"/>
        </w:rPr>
      </w:pPr>
      <w:r w:rsidRPr="006009E1">
        <w:rPr>
          <w:lang w:val="fr-FR"/>
        </w:rPr>
        <w:t>En conséquence, il convient de rayer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affaire du rôle.</w:t>
      </w:r>
    </w:p>
    <w:p w:rsidR="006009E1" w:rsidRPr="006009E1" w:rsidRDefault="004C66DF" w:rsidP="006009E1">
      <w:pPr>
        <w:pStyle w:val="JuParaLast"/>
        <w:rPr>
          <w:lang w:val="fr-FR"/>
        </w:rPr>
      </w:pPr>
      <w:r w:rsidRPr="006009E1">
        <w:rPr>
          <w:lang w:val="fr-FR"/>
        </w:rPr>
        <w:t>Par ces motifs, la Cour, à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unanimité,</w:t>
      </w:r>
    </w:p>
    <w:p w:rsidR="004C66DF" w:rsidRPr="006009E1" w:rsidRDefault="004C66DF" w:rsidP="006009E1">
      <w:pPr>
        <w:pStyle w:val="DecList"/>
        <w:rPr>
          <w:i/>
          <w:lang w:val="fr-FR"/>
        </w:rPr>
      </w:pPr>
      <w:r w:rsidRPr="006009E1">
        <w:rPr>
          <w:i/>
          <w:lang w:val="fr-FR"/>
        </w:rPr>
        <w:t>Prend acte</w:t>
      </w:r>
      <w:r w:rsidRPr="006009E1">
        <w:rPr>
          <w:lang w:val="fr-FR"/>
        </w:rPr>
        <w:t xml:space="preserve"> des termes de la déclaration du gouvernement défendeur concernant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article 6 § 1 de la Convention et des modalités prévues pour assurer le respect des engagements ainsi pris ;</w:t>
      </w:r>
    </w:p>
    <w:p w:rsidR="004C66DF" w:rsidRPr="006009E1" w:rsidRDefault="004C66DF" w:rsidP="006009E1">
      <w:pPr>
        <w:pStyle w:val="DecList"/>
        <w:rPr>
          <w:lang w:val="fr-FR"/>
        </w:rPr>
      </w:pPr>
      <w:r w:rsidRPr="006009E1">
        <w:rPr>
          <w:i/>
          <w:lang w:val="fr-FR"/>
        </w:rPr>
        <w:t>Décide</w:t>
      </w:r>
      <w:r w:rsidRPr="006009E1">
        <w:rPr>
          <w:lang w:val="fr-FR"/>
        </w:rPr>
        <w:t xml:space="preserve"> de rayer la requête du rôle en application de l</w:t>
      </w:r>
      <w:r w:rsidR="006009E1" w:rsidRPr="006009E1">
        <w:rPr>
          <w:lang w:val="fr-FR"/>
        </w:rPr>
        <w:t>’</w:t>
      </w:r>
      <w:r w:rsidRPr="006009E1">
        <w:rPr>
          <w:lang w:val="fr-FR"/>
        </w:rPr>
        <w:t>article 37 § 1 c) de la Convention.</w:t>
      </w:r>
    </w:p>
    <w:p w:rsidR="006544C4" w:rsidRPr="006009E1" w:rsidRDefault="006544C4" w:rsidP="006009E1">
      <w:pPr>
        <w:pStyle w:val="ECHRPara"/>
        <w:rPr>
          <w:sz w:val="2"/>
          <w:szCs w:val="2"/>
          <w:lang w:val="fr-FR" w:eastAsia="en-GB"/>
        </w:rPr>
      </w:pPr>
    </w:p>
    <w:p w:rsidR="00050A32" w:rsidRPr="006009E1" w:rsidRDefault="00F40988" w:rsidP="006009E1">
      <w:pPr>
        <w:pStyle w:val="JuParaLast"/>
        <w:rPr>
          <w:lang w:val="fr-FR"/>
        </w:rPr>
      </w:pPr>
      <w:r w:rsidRPr="006009E1">
        <w:rPr>
          <w:szCs w:val="24"/>
          <w:lang w:val="fr-FR"/>
        </w:rPr>
        <w:t xml:space="preserve">Fait en français puis communiqué par écrit le </w:t>
      </w:r>
      <w:r w:rsidR="004C66DF" w:rsidRPr="006009E1">
        <w:rPr>
          <w:szCs w:val="24"/>
          <w:lang w:val="fr-FR"/>
        </w:rPr>
        <w:t>22 septembre 2016</w:t>
      </w:r>
      <w:r w:rsidRPr="006009E1">
        <w:rPr>
          <w:lang w:val="fr-FR"/>
        </w:rPr>
        <w:t>.</w:t>
      </w:r>
    </w:p>
    <w:p w:rsidR="0035621E" w:rsidRPr="006009E1" w:rsidRDefault="00050A32" w:rsidP="006009E1">
      <w:pPr>
        <w:pStyle w:val="JuSigned"/>
        <w:rPr>
          <w:lang w:val="fr-FR"/>
        </w:rPr>
      </w:pPr>
      <w:r w:rsidRPr="006009E1">
        <w:rPr>
          <w:lang w:val="fr-FR"/>
        </w:rPr>
        <w:tab/>
      </w:r>
      <w:r w:rsidR="004C66DF" w:rsidRPr="006009E1">
        <w:rPr>
          <w:lang w:val="fr-FR"/>
        </w:rPr>
        <w:t xml:space="preserve">Renata </w:t>
      </w:r>
      <w:proofErr w:type="spellStart"/>
      <w:r w:rsidR="004C66DF" w:rsidRPr="006009E1">
        <w:rPr>
          <w:lang w:val="fr-FR"/>
        </w:rPr>
        <w:t>Degener</w:t>
      </w:r>
      <w:proofErr w:type="spellEnd"/>
      <w:r w:rsidR="0091478F" w:rsidRPr="006009E1">
        <w:rPr>
          <w:lang w:val="fr-FR"/>
        </w:rPr>
        <w:tab/>
      </w:r>
      <w:proofErr w:type="spellStart"/>
      <w:r w:rsidR="004C66DF" w:rsidRPr="006009E1">
        <w:rPr>
          <w:lang w:val="fr-FR"/>
        </w:rPr>
        <w:t>Ledi</w:t>
      </w:r>
      <w:proofErr w:type="spellEnd"/>
      <w:r w:rsidR="004C66DF" w:rsidRPr="006009E1">
        <w:rPr>
          <w:lang w:val="fr-FR"/>
        </w:rPr>
        <w:t xml:space="preserve"> </w:t>
      </w:r>
      <w:proofErr w:type="spellStart"/>
      <w:r w:rsidR="004C66DF" w:rsidRPr="006009E1">
        <w:rPr>
          <w:lang w:val="fr-FR"/>
        </w:rPr>
        <w:t>Bianku</w:t>
      </w:r>
      <w:proofErr w:type="spellEnd"/>
    </w:p>
    <w:p w:rsidR="00234E8A" w:rsidRPr="006009E1" w:rsidRDefault="0035621E" w:rsidP="006009E1">
      <w:pPr>
        <w:pStyle w:val="JuSigned"/>
        <w:contextualSpacing/>
        <w:rPr>
          <w:lang w:val="fr-FR"/>
        </w:rPr>
      </w:pPr>
      <w:r w:rsidRPr="006009E1">
        <w:rPr>
          <w:iCs/>
          <w:lang w:val="fr-FR"/>
        </w:rPr>
        <w:tab/>
      </w:r>
      <w:r w:rsidR="004C66DF" w:rsidRPr="006009E1">
        <w:rPr>
          <w:lang w:val="fr-FR"/>
        </w:rPr>
        <w:t>Greffière adjointe</w:t>
      </w:r>
      <w:r w:rsidR="0091478F" w:rsidRPr="006009E1">
        <w:rPr>
          <w:lang w:val="fr-FR"/>
        </w:rPr>
        <w:tab/>
      </w:r>
      <w:r w:rsidR="004C66DF" w:rsidRPr="006009E1">
        <w:rPr>
          <w:lang w:val="fr-FR"/>
        </w:rPr>
        <w:t>Président</w:t>
      </w:r>
    </w:p>
    <w:sectPr w:rsidR="00234E8A" w:rsidRPr="006009E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45" w:rsidRPr="00AC6FC1" w:rsidRDefault="00C26F45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C26F45" w:rsidRPr="00AC6FC1" w:rsidRDefault="00C26F45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DF" w:rsidRPr="00150BFA" w:rsidRDefault="004C66D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036FFB7" wp14:editId="08FD083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C26F4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45" w:rsidRPr="00AC6FC1" w:rsidRDefault="00C26F45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C26F45" w:rsidRPr="00AC6FC1" w:rsidRDefault="00C26F45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4C66DF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761025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JABLOŃSKA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4C66DF">
      <w:rPr>
        <w:lang w:val="fr-FR"/>
      </w:rPr>
      <w:t>JABLOŃSKA c. ITALIE</w:t>
    </w:r>
    <w:r w:rsidRPr="00AC6FC1">
      <w:rPr>
        <w:lang w:val="fr-FR"/>
      </w:rPr>
      <w:tab/>
    </w:r>
    <w:r w:rsidR="004C66DF">
      <w:rPr>
        <w:rStyle w:val="Numeropagina"/>
        <w:lang w:val="fr-FR"/>
      </w:rPr>
      <w:fldChar w:fldCharType="begin"/>
    </w:r>
    <w:r w:rsidR="004C66DF">
      <w:rPr>
        <w:rStyle w:val="Numeropagina"/>
        <w:lang w:val="fr-FR"/>
      </w:rPr>
      <w:instrText xml:space="preserve"> PAGE </w:instrText>
    </w:r>
    <w:r w:rsidR="004C66DF">
      <w:rPr>
        <w:rStyle w:val="Numeropagina"/>
        <w:lang w:val="fr-FR"/>
      </w:rPr>
      <w:fldChar w:fldCharType="separate"/>
    </w:r>
    <w:r w:rsidR="00761025">
      <w:rPr>
        <w:rStyle w:val="Numeropagina"/>
        <w:noProof/>
        <w:lang w:val="fr-FR"/>
      </w:rPr>
      <w:t>3</w:t>
    </w:r>
    <w:r w:rsidR="004C66DF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DF" w:rsidRPr="00A45145" w:rsidRDefault="004C66D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CD56F6C" wp14:editId="232083F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C26F4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L4_1AppNatList" w:val="polonais"/>
    <w:docVar w:name="NBEMMDOC" w:val="0"/>
    <w:docVar w:name="Plural" w:val="0"/>
    <w:docVar w:name="SignForeName" w:val="0"/>
  </w:docVars>
  <w:rsids>
    <w:rsidRoot w:val="004C66D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10AA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B6B03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1E00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66DF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55D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09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1025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2669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25ED7"/>
    <w:rsid w:val="00C26F45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C3908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86B51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5481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87B3E"/>
    <w:rsid w:val="00F90767"/>
    <w:rsid w:val="00FA685B"/>
    <w:rsid w:val="00FB0C01"/>
    <w:rsid w:val="00FB4213"/>
    <w:rsid w:val="00FC0326"/>
    <w:rsid w:val="00FC18F2"/>
    <w:rsid w:val="00FC39E5"/>
    <w:rsid w:val="00FC3A78"/>
    <w:rsid w:val="00FD1005"/>
    <w:rsid w:val="00FD6C75"/>
    <w:rsid w:val="00FE71B3"/>
    <w:rsid w:val="00FE7CF5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B4213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B421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B421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B421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B421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B421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B421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B4213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B4213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B421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B42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213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B4213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B4213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B4213"/>
    <w:pPr>
      <w:numPr>
        <w:numId w:val="14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B4213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B4213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B4213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FB4213"/>
  </w:style>
  <w:style w:type="paragraph" w:customStyle="1" w:styleId="ECHRParaQuote">
    <w:name w:val="ECHR_Para_Quote"/>
    <w:aliases w:val="Ju_Quot"/>
    <w:basedOn w:val="Normale"/>
    <w:uiPriority w:val="14"/>
    <w:qFormat/>
    <w:rsid w:val="00FB4213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B4213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FB4213"/>
  </w:style>
  <w:style w:type="paragraph" w:customStyle="1" w:styleId="OpiQuot">
    <w:name w:val="Opi_Quot"/>
    <w:basedOn w:val="ECHRParaQuote"/>
    <w:uiPriority w:val="48"/>
    <w:semiHidden/>
    <w:qFormat/>
    <w:rsid w:val="00FB4213"/>
  </w:style>
  <w:style w:type="paragraph" w:customStyle="1" w:styleId="OpiQuotSub">
    <w:name w:val="Opi_Quot_Sub"/>
    <w:basedOn w:val="JuQuotSub"/>
    <w:uiPriority w:val="49"/>
    <w:semiHidden/>
    <w:qFormat/>
    <w:rsid w:val="00FB4213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B4213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B4213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B4213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B4213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Title">
    <w:name w:val="Ju_Title"/>
    <w:basedOn w:val="Normale"/>
    <w:next w:val="ECHRPara"/>
    <w:uiPriority w:val="3"/>
    <w:qFormat/>
    <w:rsid w:val="00FB4213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B421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B421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Case">
    <w:name w:val="Ju_Case"/>
    <w:basedOn w:val="Normale"/>
    <w:next w:val="ECHRPara"/>
    <w:uiPriority w:val="10"/>
    <w:semiHidden/>
    <w:rsid w:val="00FB4213"/>
    <w:pPr>
      <w:ind w:firstLine="284"/>
    </w:pPr>
    <w:rPr>
      <w:b/>
    </w:rPr>
  </w:style>
  <w:style w:type="paragraph" w:customStyle="1" w:styleId="JuInitialled">
    <w:name w:val="Ju_Initialled"/>
    <w:basedOn w:val="Normale"/>
    <w:uiPriority w:val="31"/>
    <w:qFormat/>
    <w:rsid w:val="00FB4213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FB4213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B4213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B4213"/>
    <w:rPr>
      <w:vanish w:val="0"/>
      <w:color w:val="auto"/>
      <w:sz w:val="14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B4213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B4213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B4213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B421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B4213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B4213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B4213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B4213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B4213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B4213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B4213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B4213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B4213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B4213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B4213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B4213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B4213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FB4213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B4213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FB4213"/>
    <w:rPr>
      <w:i/>
      <w:iCs/>
    </w:rPr>
  </w:style>
  <w:style w:type="paragraph" w:customStyle="1" w:styleId="JuList">
    <w:name w:val="Ju_List"/>
    <w:basedOn w:val="Normale"/>
    <w:uiPriority w:val="28"/>
    <w:qFormat/>
    <w:rsid w:val="00FB4213"/>
    <w:pPr>
      <w:ind w:left="340" w:hanging="34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a">
    <w:name w:val="Ju_List_a"/>
    <w:basedOn w:val="JuList"/>
    <w:uiPriority w:val="28"/>
    <w:qFormat/>
    <w:rsid w:val="00FB4213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FB4213"/>
    <w:pPr>
      <w:ind w:left="794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B4213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FB42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B4213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B4213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B421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B42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213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B421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B421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B421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B421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B4213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B4213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B421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B4213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B4213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B4213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B4213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B4213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B4213"/>
    <w:rPr>
      <w:smallCaps/>
    </w:rPr>
  </w:style>
  <w:style w:type="table" w:styleId="Grigliatabella">
    <w:name w:val="Table Grid"/>
    <w:basedOn w:val="Tabellanormale"/>
    <w:uiPriority w:val="59"/>
    <w:semiHidden/>
    <w:rsid w:val="00FB421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B421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B421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B421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B4213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B4213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B4213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B4213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1">
    <w:name w:val="Opi_H_1"/>
    <w:basedOn w:val="ECHRHeading2"/>
    <w:uiPriority w:val="42"/>
    <w:semiHidden/>
    <w:qFormat/>
    <w:rsid w:val="00FB4213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FB4213"/>
    <w:pPr>
      <w:ind w:left="833" w:hanging="357"/>
      <w:outlineLvl w:val="3"/>
    </w:pPr>
    <w:rPr>
      <w:b/>
      <w:i w:val="0"/>
      <w:sz w:val="2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B421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B4213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B421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B4213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B4213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Hi">
    <w:name w:val="Opi_H_i"/>
    <w:basedOn w:val="ECHRHeading4"/>
    <w:uiPriority w:val="44"/>
    <w:semiHidden/>
    <w:qFormat/>
    <w:rsid w:val="00FB4213"/>
    <w:pPr>
      <w:ind w:left="1037" w:hanging="357"/>
      <w:outlineLvl w:val="4"/>
    </w:pPr>
    <w:rPr>
      <w:b w:val="0"/>
      <w:i/>
    </w:rPr>
  </w:style>
  <w:style w:type="paragraph" w:customStyle="1" w:styleId="DecHTitle">
    <w:name w:val="Dec_H_Title"/>
    <w:basedOn w:val="ECHRTitleCentre1"/>
    <w:uiPriority w:val="7"/>
    <w:qFormat/>
    <w:rsid w:val="00FB4213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B4213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B421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B421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e"/>
    <w:semiHidden/>
    <w:qFormat/>
    <w:rsid w:val="00FB4213"/>
    <w:rPr>
      <w:color w:val="00B050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FB4213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B4213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FB4213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rsid w:val="004C66D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D8B4-090A-4C9A-A10E-3258EE9C7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9E436-4932-4A8B-9855-9487D1C06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2FCA8-3347-416B-B921-E678EDF25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BB1ED7-7306-444C-8145-1C4B5DA3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2016-10-13T16:05:00Z</dcterms:created>
  <dcterms:modified xsi:type="dcterms:W3CDTF">2016-10-13T16:05:00Z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